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3E0" w:rsidRPr="0052548E" w:rsidRDefault="00E743E0" w:rsidP="00E743E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719634</w:t>
      </w:r>
    </w:p>
    <w:p w:rsidR="00E743E0" w:rsidRPr="009513AC" w:rsidRDefault="00E743E0" w:rsidP="00E743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41D34">
        <w:rPr>
          <w:rFonts w:ascii="Arial" w:hAnsi="Arial"/>
          <w:sz w:val="24"/>
        </w:rPr>
        <w:t>7</w:t>
      </w:r>
      <w:r w:rsidR="009338D5" w:rsidRPr="009338D5">
        <w:rPr>
          <w:rFonts w:ascii="Arial" w:hAnsi="Arial"/>
          <w:sz w:val="24"/>
        </w:rPr>
        <w:t>.2.2.5</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A2B26" w:rsidRPr="008A2B26">
        <w:rPr>
          <w:rFonts w:ascii="Arial" w:hAnsi="Arial"/>
          <w:sz w:val="22"/>
        </w:rPr>
        <w:t>Remaining issues of CQI and MCS tables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B35C08" w:rsidRDefault="008C7323" w:rsidP="00157AA0">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7AA0">
        <w:rPr>
          <w:sz w:val="24"/>
          <w:szCs w:val="24"/>
        </w:rPr>
        <w:t xml:space="preserve"> Similar to LTE, closed loop techniques for indicating channel quality and modulation and coding scheme for data transmission are used for NR. </w:t>
      </w:r>
      <w:r w:rsidR="00B35C08">
        <w:rPr>
          <w:sz w:val="24"/>
          <w:szCs w:val="24"/>
        </w:rPr>
        <w:t xml:space="preserve"> Regarding CQI and MCS tables configurations, the following agreements were during the previous RAN1 meeting.</w:t>
      </w:r>
    </w:p>
    <w:p w:rsidR="000A3429" w:rsidRPr="000A3429" w:rsidRDefault="000A3429" w:rsidP="000A3429">
      <w:pPr>
        <w:rPr>
          <w:b/>
          <w:sz w:val="24"/>
          <w:u w:val="single"/>
          <w:lang w:eastAsia="x-none"/>
        </w:rPr>
      </w:pPr>
      <w:r w:rsidRPr="000A3429">
        <w:rPr>
          <w:b/>
          <w:sz w:val="24"/>
          <w:highlight w:val="green"/>
          <w:u w:val="single"/>
          <w:lang w:eastAsia="x-none"/>
        </w:rPr>
        <w:t>Agreement:</w:t>
      </w:r>
    </w:p>
    <w:p w:rsidR="000A3429" w:rsidRPr="009A7BA4" w:rsidRDefault="000A3429" w:rsidP="000A3429">
      <w:pPr>
        <w:pStyle w:val="RAN1bullet1"/>
      </w:pPr>
      <w:r w:rsidRPr="009A7BA4">
        <w:t xml:space="preserve">Two separate CQI tables are supported for eMBB </w:t>
      </w:r>
    </w:p>
    <w:p w:rsidR="000A3429" w:rsidRPr="009A7BA4" w:rsidRDefault="000A3429" w:rsidP="000A3429">
      <w:pPr>
        <w:pStyle w:val="RAN1bullet1"/>
      </w:pPr>
      <w:r w:rsidRPr="009A7BA4">
        <w:t>One for maximum modulation order is 256-QAM</w:t>
      </w:r>
    </w:p>
    <w:p w:rsidR="000A3429" w:rsidRPr="009A7BA4" w:rsidRDefault="000A3429" w:rsidP="000A3429">
      <w:pPr>
        <w:pStyle w:val="RAN1bullet1"/>
      </w:pPr>
      <w:r w:rsidRPr="009A7BA4">
        <w:t>One for maximum modulation order is 64-QAM</w:t>
      </w:r>
    </w:p>
    <w:p w:rsidR="000A3429" w:rsidRPr="009A7BA4" w:rsidRDefault="000A3429" w:rsidP="000A3429">
      <w:pPr>
        <w:pStyle w:val="RAN1bullet1"/>
      </w:pPr>
      <w:r w:rsidRPr="009A7BA4">
        <w:t>The target BLER for CQI tables is 10%</w:t>
      </w:r>
    </w:p>
    <w:p w:rsidR="000A3429" w:rsidRPr="009A7BA4" w:rsidRDefault="000A3429" w:rsidP="000A3429">
      <w:pPr>
        <w:pStyle w:val="RAN1bullet1"/>
      </w:pPr>
      <w:r w:rsidRPr="009A7BA4">
        <w:t xml:space="preserve">Note: RRC signalling is used by gNB to select one of the above two tables </w:t>
      </w:r>
    </w:p>
    <w:p w:rsidR="000A3429" w:rsidRPr="002062C9" w:rsidRDefault="000A3429" w:rsidP="000A3429">
      <w:pPr>
        <w:jc w:val="both"/>
        <w:rPr>
          <w:b/>
        </w:rPr>
      </w:pPr>
    </w:p>
    <w:p w:rsidR="000A3429" w:rsidRPr="000A3429" w:rsidRDefault="000A3429" w:rsidP="000A3429">
      <w:pPr>
        <w:jc w:val="both"/>
        <w:rPr>
          <w:b/>
          <w:sz w:val="24"/>
          <w:highlight w:val="green"/>
          <w:u w:val="single"/>
        </w:rPr>
      </w:pPr>
      <w:r w:rsidRPr="000A3429">
        <w:rPr>
          <w:b/>
          <w:sz w:val="24"/>
          <w:highlight w:val="green"/>
          <w:u w:val="single"/>
        </w:rPr>
        <w:t>Agreement:</w:t>
      </w:r>
    </w:p>
    <w:p w:rsidR="000A3429" w:rsidRPr="00881A85" w:rsidRDefault="000A3429" w:rsidP="000A3429">
      <w:pPr>
        <w:pStyle w:val="RAN1bullet1"/>
      </w:pPr>
      <w:r w:rsidRPr="00881A85">
        <w:t>N separate CQI table(s) are supported for URLLC</w:t>
      </w:r>
    </w:p>
    <w:p w:rsidR="000A3429" w:rsidRPr="00881A85" w:rsidRDefault="000A3429" w:rsidP="000A3429">
      <w:pPr>
        <w:pStyle w:val="RAN1bullet2"/>
      </w:pPr>
      <w:r w:rsidRPr="00881A85">
        <w:t>Downselect the value of N between 1 or 2</w:t>
      </w:r>
    </w:p>
    <w:p w:rsidR="000A3429" w:rsidRPr="00881A85" w:rsidRDefault="000A3429" w:rsidP="000A3429">
      <w:pPr>
        <w:pStyle w:val="RAN1bullet1"/>
      </w:pPr>
      <w:r w:rsidRPr="00881A85">
        <w:t>Two target BLER are supported for URLLC</w:t>
      </w:r>
    </w:p>
    <w:p w:rsidR="000A3429" w:rsidRPr="00881A85" w:rsidRDefault="000A3429" w:rsidP="000A3429">
      <w:pPr>
        <w:pStyle w:val="RAN1bullet2"/>
      </w:pPr>
      <w:r w:rsidRPr="00881A85">
        <w:t>Note: RRC signalling is used by gNB to select one of the two target BLER</w:t>
      </w:r>
    </w:p>
    <w:p w:rsidR="000A3429" w:rsidRPr="00881A85" w:rsidRDefault="000A3429" w:rsidP="000A3429">
      <w:pPr>
        <w:pStyle w:val="RAN1bullet2"/>
      </w:pPr>
      <w:r w:rsidRPr="00881A85">
        <w:t xml:space="preserve">Note: The configuration of target BLER or CQI table is part of CSI report setting </w:t>
      </w:r>
    </w:p>
    <w:p w:rsidR="000A3429" w:rsidRPr="002062C9" w:rsidRDefault="000A3429" w:rsidP="000A3429">
      <w:pPr>
        <w:jc w:val="both"/>
        <w:rPr>
          <w:b/>
        </w:rPr>
      </w:pPr>
    </w:p>
    <w:p w:rsidR="000A3429" w:rsidRPr="000A3429" w:rsidRDefault="000A3429" w:rsidP="000A3429">
      <w:pPr>
        <w:jc w:val="both"/>
        <w:rPr>
          <w:b/>
          <w:sz w:val="24"/>
          <w:highlight w:val="green"/>
          <w:u w:val="single"/>
        </w:rPr>
      </w:pPr>
      <w:r w:rsidRPr="000A3429">
        <w:rPr>
          <w:b/>
          <w:sz w:val="24"/>
          <w:highlight w:val="green"/>
          <w:u w:val="single"/>
        </w:rPr>
        <w:t>Agreement:</w:t>
      </w:r>
    </w:p>
    <w:p w:rsidR="000A3429" w:rsidRPr="002062C9" w:rsidRDefault="000A3429" w:rsidP="000A3429">
      <w:pPr>
        <w:pStyle w:val="RAN1bullet1"/>
      </w:pPr>
      <w:r w:rsidRPr="002062C9">
        <w:t>For CQI table of maximum modulation order of 64QAM, the CQI table from LTE Rel-8 is reused</w:t>
      </w:r>
    </w:p>
    <w:p w:rsidR="000A3429" w:rsidRPr="002062C9" w:rsidRDefault="000A3429" w:rsidP="000A3429">
      <w:pPr>
        <w:pStyle w:val="RAN1bullet1"/>
      </w:pPr>
      <w:r w:rsidRPr="002062C9">
        <w:t>For CQI table of maximum modulation order of 256QAM, a CQI field size of 4 bits is supported</w:t>
      </w:r>
    </w:p>
    <w:p w:rsidR="000A3429" w:rsidRPr="00912287" w:rsidRDefault="000A3429" w:rsidP="000A3429">
      <w:pPr>
        <w:pStyle w:val="RAN1bullet2"/>
      </w:pPr>
      <w:r w:rsidRPr="00912287">
        <w:t>FFS on the details of the CQI table</w:t>
      </w:r>
    </w:p>
    <w:p w:rsidR="000A3429" w:rsidRPr="002062C9" w:rsidRDefault="000A3429" w:rsidP="000A3429">
      <w:pPr>
        <w:jc w:val="both"/>
        <w:rPr>
          <w:b/>
        </w:rPr>
      </w:pPr>
    </w:p>
    <w:p w:rsidR="000A3429" w:rsidRPr="000A3429" w:rsidRDefault="000A3429" w:rsidP="000A3429">
      <w:pPr>
        <w:rPr>
          <w:b/>
          <w:bCs/>
          <w:iCs/>
          <w:spacing w:val="5"/>
          <w:sz w:val="24"/>
          <w:highlight w:val="green"/>
          <w:u w:val="single"/>
        </w:rPr>
      </w:pPr>
      <w:r w:rsidRPr="000A3429">
        <w:rPr>
          <w:b/>
          <w:bCs/>
          <w:iCs/>
          <w:spacing w:val="5"/>
          <w:sz w:val="24"/>
          <w:highlight w:val="green"/>
          <w:u w:val="single"/>
        </w:rPr>
        <w:t>Agreement:</w:t>
      </w:r>
    </w:p>
    <w:p w:rsidR="000A3429" w:rsidRPr="002062C9" w:rsidRDefault="000A3429" w:rsidP="000A3429">
      <w:pPr>
        <w:pStyle w:val="RAN1bullet1"/>
      </w:pPr>
      <w:r w:rsidRPr="002062C9">
        <w:t>Two independent CQI fields are supported for WB CQI when two CWs is applied</w:t>
      </w:r>
    </w:p>
    <w:p w:rsidR="000A3429" w:rsidRPr="004A6FDC" w:rsidRDefault="000A3429" w:rsidP="000A3429">
      <w:pPr>
        <w:pStyle w:val="RAN1bullet2"/>
      </w:pPr>
      <w:r w:rsidRPr="004A6FDC">
        <w:t>Note: Differential WB CQI is not used for the two CWs</w:t>
      </w:r>
    </w:p>
    <w:p w:rsidR="000A3429" w:rsidRDefault="000A3429" w:rsidP="000A3429">
      <w:pPr>
        <w:rPr>
          <w:lang w:eastAsia="x-none"/>
        </w:rPr>
      </w:pPr>
    </w:p>
    <w:p w:rsidR="000A3429" w:rsidRPr="000A3429" w:rsidRDefault="000A3429" w:rsidP="000A3429">
      <w:pPr>
        <w:rPr>
          <w:b/>
          <w:sz w:val="24"/>
          <w:u w:val="single"/>
          <w:lang w:eastAsia="x-none"/>
        </w:rPr>
      </w:pPr>
      <w:r w:rsidRPr="000A3429">
        <w:rPr>
          <w:b/>
          <w:sz w:val="24"/>
          <w:highlight w:val="green"/>
          <w:u w:val="single"/>
          <w:lang w:eastAsia="x-none"/>
        </w:rPr>
        <w:t>Agreement</w:t>
      </w:r>
    </w:p>
    <w:p w:rsidR="000A3429" w:rsidRPr="002A5A8B" w:rsidRDefault="000A3429" w:rsidP="000A3429">
      <w:pPr>
        <w:pStyle w:val="RAN1text"/>
      </w:pPr>
      <w:r w:rsidRPr="002A5A8B">
        <w:t>For NR PDSCH MCS table, support two separate 5 bit tables for 64QAM and 256QAM and RAN1 will strive to reuse as many entries as possible</w:t>
      </w:r>
    </w:p>
    <w:p w:rsidR="000A3429" w:rsidRPr="002062C9" w:rsidRDefault="000A3429" w:rsidP="000A3429">
      <w:pPr>
        <w:pStyle w:val="RAN1bullet1"/>
      </w:pPr>
      <w:r w:rsidRPr="002062C9">
        <w:t>The 64QAM MCS table should be default unless the UE is configured to use 256QAM MCS table</w:t>
      </w:r>
    </w:p>
    <w:p w:rsidR="000A3429" w:rsidRPr="002062C9" w:rsidRDefault="000A3429" w:rsidP="000A3429">
      <w:pPr>
        <w:pStyle w:val="RAN1bullet1"/>
      </w:pPr>
      <w:r w:rsidRPr="002062C9">
        <w:lastRenderedPageBreak/>
        <w:t>RRC signalling is used to choose between the two MCS tables</w:t>
      </w:r>
    </w:p>
    <w:p w:rsidR="000A3429" w:rsidRDefault="000A3429" w:rsidP="000A3429">
      <w:pPr>
        <w:jc w:val="both"/>
        <w:rPr>
          <w:rStyle w:val="BookTitle"/>
          <w:b w:val="0"/>
          <w:i w:val="0"/>
          <w:sz w:val="24"/>
        </w:rPr>
      </w:pPr>
    </w:p>
    <w:p w:rsidR="000A3429" w:rsidRPr="000A3429" w:rsidRDefault="000A3429" w:rsidP="000A3429">
      <w:pPr>
        <w:rPr>
          <w:b/>
          <w:sz w:val="24"/>
          <w:u w:val="single"/>
          <w:lang w:eastAsia="x-none"/>
        </w:rPr>
      </w:pPr>
      <w:r w:rsidRPr="000A3429">
        <w:rPr>
          <w:b/>
          <w:sz w:val="24"/>
          <w:highlight w:val="green"/>
          <w:u w:val="single"/>
          <w:lang w:eastAsia="x-none"/>
        </w:rPr>
        <w:t>Agreement</w:t>
      </w:r>
    </w:p>
    <w:p w:rsidR="000A3429" w:rsidRPr="0073022D" w:rsidRDefault="000A3429" w:rsidP="000A3429">
      <w:pPr>
        <w:pStyle w:val="RAN1text"/>
      </w:pPr>
      <w:r w:rsidRPr="0073022D">
        <w:t>For NR PUSCH MCS table (in case of CP-OFDM), support two separate 5 bit tables for 64QAM and 256QAM and RAN1 will strive to reuse as many entries as possible</w:t>
      </w:r>
    </w:p>
    <w:p w:rsidR="000A3429" w:rsidRPr="002062C9" w:rsidRDefault="000A3429" w:rsidP="000A3429">
      <w:pPr>
        <w:pStyle w:val="RAN1bullet1"/>
      </w:pPr>
      <w:r w:rsidRPr="002062C9">
        <w:t>The 64QAM MCS table should be default unless the UE is configured to use 256QAM MCS table</w:t>
      </w:r>
    </w:p>
    <w:p w:rsidR="000A3429" w:rsidRPr="002062C9" w:rsidRDefault="000A3429" w:rsidP="000A3429">
      <w:pPr>
        <w:pStyle w:val="RAN1bullet1"/>
      </w:pPr>
      <w:r w:rsidRPr="002062C9">
        <w:t>RRC signalling is used to choose between the two MCS tables</w:t>
      </w:r>
    </w:p>
    <w:p w:rsidR="00EA12F6" w:rsidRDefault="00EA12F6" w:rsidP="000A3429">
      <w:pPr>
        <w:rPr>
          <w:b/>
          <w:sz w:val="24"/>
          <w:highlight w:val="green"/>
          <w:u w:val="single"/>
          <w:lang w:eastAsia="x-none"/>
        </w:rPr>
      </w:pPr>
    </w:p>
    <w:p w:rsidR="000A3429" w:rsidRPr="000A3429" w:rsidRDefault="000A3429" w:rsidP="000A3429">
      <w:pPr>
        <w:rPr>
          <w:b/>
          <w:sz w:val="24"/>
          <w:u w:val="single"/>
          <w:lang w:eastAsia="x-none"/>
        </w:rPr>
      </w:pPr>
      <w:r w:rsidRPr="000A3429">
        <w:rPr>
          <w:b/>
          <w:sz w:val="24"/>
          <w:highlight w:val="green"/>
          <w:u w:val="single"/>
          <w:lang w:eastAsia="x-none"/>
        </w:rPr>
        <w:t>Agreement</w:t>
      </w:r>
    </w:p>
    <w:p w:rsidR="000A3429" w:rsidRPr="00371EA5" w:rsidRDefault="000A3429" w:rsidP="000A3429">
      <w:pPr>
        <w:pStyle w:val="RAN1text"/>
      </w:pPr>
      <w:r w:rsidRPr="00371EA5">
        <w:t>For NR PUSCH MCS table (in case of DFT-s-OFDM), support two separate 5 bit tables for 64QAM and 256QAM and RAN1 will strive to reuse as many entries as possible</w:t>
      </w:r>
    </w:p>
    <w:p w:rsidR="000A3429" w:rsidRPr="00371EA5" w:rsidRDefault="000A3429" w:rsidP="000A3429">
      <w:pPr>
        <w:pStyle w:val="RAN1bullet1"/>
      </w:pPr>
      <w:r w:rsidRPr="00371EA5">
        <w:t>The MCS table will include entries for PI/2 BPSK</w:t>
      </w:r>
    </w:p>
    <w:p w:rsidR="000A3429" w:rsidRPr="00371EA5" w:rsidRDefault="000A3429" w:rsidP="000A3429">
      <w:pPr>
        <w:pStyle w:val="RAN1bullet1"/>
      </w:pPr>
      <w:r w:rsidRPr="00371EA5">
        <w:t>The 64QAM MCS table should be default unless the UE is configured to use 256QAM MCS table</w:t>
      </w:r>
    </w:p>
    <w:p w:rsidR="000A3429" w:rsidRPr="00371EA5" w:rsidRDefault="000A3429" w:rsidP="000A3429">
      <w:pPr>
        <w:pStyle w:val="RAN1bullet1"/>
      </w:pPr>
      <w:bookmarkStart w:id="2" w:name="_Hlk495617136"/>
      <w:r w:rsidRPr="00371EA5">
        <w:rPr>
          <w:iCs/>
        </w:rPr>
        <w:t>RRC signalling is used to choose between the two MCS tables</w:t>
      </w:r>
    </w:p>
    <w:bookmarkEnd w:id="2"/>
    <w:p w:rsidR="000A3429" w:rsidRPr="00371EA5" w:rsidRDefault="000A3429" w:rsidP="000A3429">
      <w:pPr>
        <w:pStyle w:val="RAN1bullet1"/>
      </w:pPr>
      <w:r w:rsidRPr="00371EA5">
        <w:rPr>
          <w:iCs/>
        </w:rPr>
        <w:t>Note: In the case a UE supports only up to 16QAM, the default table should be used</w:t>
      </w:r>
    </w:p>
    <w:p w:rsidR="000A3429" w:rsidRPr="0013467F" w:rsidRDefault="000A3429" w:rsidP="000A3429">
      <w:pPr>
        <w:pStyle w:val="RAN1bullet2"/>
        <w:numPr>
          <w:ilvl w:val="0"/>
          <w:numId w:val="0"/>
        </w:numPr>
        <w:ind w:left="1440" w:hanging="360"/>
        <w:rPr>
          <w:sz w:val="28"/>
        </w:rPr>
      </w:pPr>
    </w:p>
    <w:p w:rsidR="000A3429" w:rsidRPr="000A3429" w:rsidRDefault="000A3429" w:rsidP="000A3429">
      <w:pPr>
        <w:rPr>
          <w:b/>
          <w:sz w:val="24"/>
          <w:highlight w:val="green"/>
          <w:u w:val="single"/>
          <w:lang w:eastAsia="x-none"/>
        </w:rPr>
      </w:pPr>
      <w:r w:rsidRPr="000A3429">
        <w:rPr>
          <w:b/>
          <w:sz w:val="24"/>
          <w:highlight w:val="green"/>
          <w:u w:val="single"/>
          <w:lang w:eastAsia="x-none"/>
        </w:rPr>
        <w:t>Agreement</w:t>
      </w:r>
    </w:p>
    <w:p w:rsidR="000A3429" w:rsidRPr="0099353B" w:rsidRDefault="000A3429" w:rsidP="000A3429">
      <w:pPr>
        <w:pStyle w:val="RAN1text"/>
      </w:pPr>
      <w:r w:rsidRPr="0099353B">
        <w:t xml:space="preserve">The following fields are used in defining the MCS table: </w:t>
      </w:r>
    </w:p>
    <w:p w:rsidR="000A3429" w:rsidRPr="0099353B" w:rsidRDefault="000A3429" w:rsidP="000A3429">
      <w:pPr>
        <w:pStyle w:val="RAN1bullet1"/>
      </w:pPr>
      <w:r w:rsidRPr="0099353B">
        <w:t>MCS index and a corresponding modulation order and target code rate x [1024]</w:t>
      </w:r>
    </w:p>
    <w:p w:rsidR="000D0C32" w:rsidRDefault="000D0C32" w:rsidP="002F500A">
      <w:pPr>
        <w:overflowPunct/>
        <w:autoSpaceDE/>
        <w:autoSpaceDN/>
        <w:adjustRightInd/>
        <w:spacing w:after="0"/>
        <w:jc w:val="both"/>
        <w:textAlignment w:val="auto"/>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EC425A">
        <w:rPr>
          <w:rFonts w:eastAsia="MS Mincho"/>
          <w:sz w:val="24"/>
          <w:szCs w:val="24"/>
          <w:lang w:eastAsia="ja-JP"/>
        </w:rPr>
        <w:t xml:space="preserve">the remaining issues of </w:t>
      </w:r>
      <w:r w:rsidR="00157AA0">
        <w:rPr>
          <w:rFonts w:eastAsia="MS Mincho"/>
          <w:sz w:val="24"/>
          <w:szCs w:val="24"/>
          <w:lang w:eastAsia="ja-JP"/>
        </w:rPr>
        <w:t xml:space="preserve">CQI and MCS indication for NR. </w:t>
      </w:r>
    </w:p>
    <w:p w:rsidR="0035783D" w:rsidRDefault="00AD72BC" w:rsidP="0035783D">
      <w:pPr>
        <w:pStyle w:val="Heading1"/>
      </w:pPr>
      <w:r>
        <w:t xml:space="preserve"> </w:t>
      </w:r>
      <w:r w:rsidR="00734F5F">
        <w:t xml:space="preserve">Remaining issues of </w:t>
      </w:r>
      <w:r w:rsidR="00087DB5">
        <w:t xml:space="preserve">CQI Tables </w:t>
      </w:r>
      <w:bookmarkStart w:id="3" w:name="_Ref378529477"/>
    </w:p>
    <w:p w:rsidR="0035783D" w:rsidRDefault="0035783D" w:rsidP="0035783D">
      <w:pPr>
        <w:jc w:val="both"/>
        <w:rPr>
          <w:sz w:val="24"/>
          <w:szCs w:val="24"/>
          <w:lang w:val="en-GB"/>
        </w:rPr>
      </w:pPr>
      <w:r>
        <w:rPr>
          <w:sz w:val="24"/>
          <w:szCs w:val="24"/>
          <w:lang w:val="en-GB"/>
        </w:rPr>
        <w:t xml:space="preserve">It can be observed that above section that most of the details for CQI tables are finalized. However, we need to design a CQI table for 256 QAM modulation. In our view, the performance of LDPC and turbo codes is almost equal. Hence to reduce the standardization effort, we prefer to use the same table as that of LTE for 256 QAM. </w:t>
      </w:r>
    </w:p>
    <w:p w:rsidR="0035783D" w:rsidRPr="002062C9" w:rsidRDefault="0035783D" w:rsidP="0035783D">
      <w:pPr>
        <w:pStyle w:val="RAN1bullet1"/>
      </w:pPr>
      <w:r>
        <w:rPr>
          <w:b/>
          <w:sz w:val="24"/>
        </w:rPr>
        <w:t>Proposal 1</w:t>
      </w:r>
      <w:r w:rsidRPr="005C1BF7">
        <w:rPr>
          <w:b/>
          <w:sz w:val="24"/>
        </w:rPr>
        <w:t xml:space="preserve">: </w:t>
      </w:r>
      <w:r>
        <w:rPr>
          <w:b/>
          <w:sz w:val="24"/>
        </w:rPr>
        <w:t xml:space="preserve">  For CQI table of maximum modulation order of 256 QAM, the CQI table from LTE is reused </w:t>
      </w:r>
    </w:p>
    <w:p w:rsidR="009C0834" w:rsidRDefault="005415B8" w:rsidP="009C0834">
      <w:pPr>
        <w:pStyle w:val="Heading1"/>
      </w:pPr>
      <w:r>
        <w:t>Remaining I</w:t>
      </w:r>
      <w:r w:rsidR="00734F5F">
        <w:t xml:space="preserve">ssues </w:t>
      </w:r>
      <w:r w:rsidR="000462AB">
        <w:t xml:space="preserve">of MCS </w:t>
      </w:r>
      <w:r w:rsidR="009C0834">
        <w:t>Table</w:t>
      </w:r>
      <w:r w:rsidR="000462AB">
        <w:t xml:space="preserve"> </w:t>
      </w:r>
    </w:p>
    <w:p w:rsidR="00CE5E5D" w:rsidRDefault="00CE5E5D" w:rsidP="009C0834">
      <w:pPr>
        <w:pStyle w:val="BodyText"/>
        <w:rPr>
          <w:rFonts w:ascii="Times New Roman" w:hAnsi="Times New Roman"/>
          <w:color w:val="000000"/>
          <w:sz w:val="24"/>
          <w:szCs w:val="24"/>
        </w:rPr>
      </w:pPr>
      <w:r>
        <w:rPr>
          <w:rFonts w:ascii="Times New Roman" w:hAnsi="Times New Roman"/>
          <w:color w:val="000000"/>
          <w:sz w:val="24"/>
          <w:szCs w:val="24"/>
        </w:rPr>
        <w:t>For MCS table configuration since it is already decided to have different table configurations for</w:t>
      </w:r>
      <w:bookmarkStart w:id="4" w:name="_GoBack"/>
      <w:bookmarkEnd w:id="4"/>
      <w:r>
        <w:rPr>
          <w:rFonts w:ascii="Times New Roman" w:hAnsi="Times New Roman"/>
          <w:color w:val="000000"/>
          <w:sz w:val="24"/>
          <w:szCs w:val="24"/>
        </w:rPr>
        <w:t xml:space="preserve"> downlink and uplink. In addition, a different table configuration when the UE uses DFT-s-OFDM for PUSCH transmission.  However, in our view, when the UE is configured to have CP-OFDM waveform for PUSCH transmission, it can use the same MCS table design for PDSCH. Hence we propose that</w:t>
      </w:r>
    </w:p>
    <w:p w:rsidR="00CE5E5D" w:rsidRPr="002062C9" w:rsidRDefault="00CE5E5D" w:rsidP="00CE5E5D">
      <w:pPr>
        <w:pStyle w:val="RAN1bullet1"/>
      </w:pPr>
      <w:r>
        <w:rPr>
          <w:b/>
          <w:sz w:val="24"/>
        </w:rPr>
        <w:t>Proposal 2</w:t>
      </w:r>
      <w:r w:rsidRPr="005C1BF7">
        <w:rPr>
          <w:b/>
          <w:sz w:val="24"/>
        </w:rPr>
        <w:t xml:space="preserve">: </w:t>
      </w:r>
      <w:r>
        <w:rPr>
          <w:b/>
          <w:sz w:val="24"/>
        </w:rPr>
        <w:t xml:space="preserve"> </w:t>
      </w:r>
      <w:r>
        <w:rPr>
          <w:b/>
          <w:sz w:val="24"/>
        </w:rPr>
        <w:t xml:space="preserve">MCS table design for PUSCH with CP-OFDM is same as that of PDSCH </w:t>
      </w:r>
      <w:r>
        <w:rPr>
          <w:b/>
          <w:sz w:val="24"/>
        </w:rPr>
        <w:t xml:space="preserve"> </w:t>
      </w:r>
    </w:p>
    <w:p w:rsidR="00CE5E5D" w:rsidRDefault="00CE5E5D" w:rsidP="009C0834">
      <w:pPr>
        <w:pStyle w:val="BodyText"/>
        <w:rPr>
          <w:rFonts w:ascii="Times New Roman" w:hAnsi="Times New Roman"/>
          <w:color w:val="000000"/>
          <w:sz w:val="24"/>
          <w:szCs w:val="24"/>
        </w:rPr>
      </w:pPr>
    </w:p>
    <w:p w:rsidR="00CE5E5D" w:rsidRDefault="00CE5E5D" w:rsidP="009C0834">
      <w:pPr>
        <w:pStyle w:val="BodyText"/>
        <w:rPr>
          <w:rFonts w:ascii="Times New Roman" w:hAnsi="Times New Roman"/>
          <w:color w:val="000000"/>
          <w:sz w:val="24"/>
          <w:szCs w:val="24"/>
        </w:rPr>
      </w:pPr>
      <w:r>
        <w:rPr>
          <w:rFonts w:ascii="Times New Roman" w:hAnsi="Times New Roman"/>
          <w:color w:val="000000"/>
          <w:sz w:val="24"/>
          <w:szCs w:val="24"/>
        </w:rPr>
        <w:t>For MCS table for PDSCH, for reducing the standardization effort, we prefer to reuse the same tables from LTE.</w:t>
      </w:r>
    </w:p>
    <w:p w:rsidR="00CE5E5D" w:rsidRDefault="00CE5E5D" w:rsidP="009C0834">
      <w:pPr>
        <w:pStyle w:val="BodyText"/>
        <w:rPr>
          <w:rFonts w:ascii="Times New Roman" w:hAnsi="Times New Roman"/>
          <w:color w:val="000000"/>
          <w:sz w:val="24"/>
          <w:szCs w:val="24"/>
        </w:rPr>
      </w:pPr>
    </w:p>
    <w:p w:rsidR="00CE5E5D" w:rsidRPr="002062C9" w:rsidRDefault="00CE5E5D" w:rsidP="00CE5E5D">
      <w:pPr>
        <w:pStyle w:val="RAN1bullet1"/>
      </w:pPr>
      <w:r>
        <w:rPr>
          <w:b/>
          <w:sz w:val="24"/>
        </w:rPr>
        <w:t>Proposal 3</w:t>
      </w:r>
      <w:r w:rsidRPr="005C1BF7">
        <w:rPr>
          <w:b/>
          <w:sz w:val="24"/>
        </w:rPr>
        <w:t xml:space="preserve">: </w:t>
      </w:r>
      <w:r>
        <w:rPr>
          <w:b/>
          <w:sz w:val="24"/>
        </w:rPr>
        <w:t xml:space="preserve"> </w:t>
      </w:r>
      <w:r>
        <w:rPr>
          <w:b/>
          <w:sz w:val="24"/>
        </w:rPr>
        <w:t>MCS tables from LTE are reused for</w:t>
      </w:r>
      <w:r>
        <w:rPr>
          <w:b/>
          <w:sz w:val="24"/>
        </w:rPr>
        <w:t xml:space="preserve"> </w:t>
      </w:r>
      <w:r>
        <w:rPr>
          <w:b/>
          <w:sz w:val="24"/>
        </w:rPr>
        <w:t xml:space="preserve">PDSCH and PUSCH with CP-OFDM </w:t>
      </w:r>
    </w:p>
    <w:p w:rsidR="00CE5E5D" w:rsidRDefault="00CE5E5D" w:rsidP="009C0834">
      <w:pPr>
        <w:pStyle w:val="BodyText"/>
        <w:rPr>
          <w:rFonts w:ascii="Times New Roman" w:hAnsi="Times New Roman"/>
          <w:color w:val="000000"/>
          <w:sz w:val="24"/>
          <w:szCs w:val="24"/>
        </w:rPr>
      </w:pPr>
    </w:p>
    <w:p w:rsidR="009C0834" w:rsidRDefault="00CE5E5D" w:rsidP="00636BB8">
      <w:pPr>
        <w:pStyle w:val="BodyText"/>
        <w:rPr>
          <w:color w:val="000000" w:themeColor="text1"/>
          <w:sz w:val="24"/>
        </w:rPr>
      </w:pPr>
      <w:r>
        <w:rPr>
          <w:rFonts w:ascii="Times New Roman" w:hAnsi="Times New Roman"/>
          <w:color w:val="000000"/>
          <w:sz w:val="24"/>
          <w:szCs w:val="24"/>
        </w:rPr>
        <w:t xml:space="preserve">However, when the UE is configured to have DFT-s-OFDM, MCS table design should be different as this is mainly used for coverage limited scenarios. </w:t>
      </w:r>
      <w:r w:rsidR="00636BB8">
        <w:rPr>
          <w:rFonts w:ascii="Times New Roman" w:hAnsi="Times New Roman"/>
          <w:color w:val="000000"/>
          <w:sz w:val="24"/>
          <w:szCs w:val="24"/>
        </w:rPr>
        <w:t xml:space="preserve"> Since with the introduction of Pi/2 BPSK, the UE can be operated with 26 dBm power, we prefer entries of Pi/2 BPSK should span from low code rates of 1/32 to 1/8 for coverage limited scenarios. </w:t>
      </w:r>
    </w:p>
    <w:p w:rsidR="00636BB8" w:rsidRDefault="00636BB8" w:rsidP="00636BB8">
      <w:pPr>
        <w:jc w:val="both"/>
        <w:rPr>
          <w:b/>
          <w:sz w:val="24"/>
          <w:szCs w:val="24"/>
        </w:rPr>
      </w:pPr>
      <w:r>
        <w:rPr>
          <w:b/>
          <w:sz w:val="24"/>
          <w:szCs w:val="24"/>
        </w:rPr>
        <w:t>Proposal 4</w:t>
      </w:r>
      <w:r w:rsidRPr="005C1BF7">
        <w:rPr>
          <w:b/>
          <w:sz w:val="24"/>
          <w:szCs w:val="24"/>
        </w:rPr>
        <w:t xml:space="preserve">: </w:t>
      </w:r>
      <w:r>
        <w:rPr>
          <w:b/>
          <w:sz w:val="24"/>
          <w:szCs w:val="24"/>
        </w:rPr>
        <w:t xml:space="preserve"> </w:t>
      </w:r>
      <w:r>
        <w:rPr>
          <w:b/>
          <w:sz w:val="24"/>
          <w:szCs w:val="24"/>
        </w:rPr>
        <w:t xml:space="preserve"> Pi/2 BPSK entries in the MCS table for PUSCH should cover the lowest code rates from 1/32 to 1/8 </w:t>
      </w:r>
    </w:p>
    <w:p w:rsidR="00D234EA" w:rsidRDefault="00D234EA" w:rsidP="00D234EA">
      <w:pPr>
        <w:pStyle w:val="Heading1"/>
      </w:pPr>
      <w:r>
        <w:t>Adaptive CQI/MCS Pay Load for NR</w:t>
      </w:r>
    </w:p>
    <w:p w:rsidR="00D234EA" w:rsidRPr="00753837" w:rsidRDefault="00D234EA" w:rsidP="00D234EA">
      <w:pPr>
        <w:pStyle w:val="Heading3"/>
        <w:keepLines w:val="0"/>
        <w:numPr>
          <w:ilvl w:val="2"/>
          <w:numId w:val="0"/>
        </w:numPr>
        <w:tabs>
          <w:tab w:val="num" w:pos="851"/>
        </w:tabs>
        <w:spacing w:before="480"/>
        <w:jc w:val="both"/>
        <w:rPr>
          <w:rFonts w:asciiTheme="minorHAnsi" w:hAnsiTheme="minorHAnsi"/>
          <w:b/>
          <w:sz w:val="24"/>
        </w:rPr>
      </w:pPr>
      <w:r>
        <w:rPr>
          <w:rFonts w:asciiTheme="minorHAnsi" w:hAnsiTheme="minorHAnsi"/>
          <w:color w:val="000000" w:themeColor="text1"/>
          <w:sz w:val="24"/>
        </w:rPr>
        <w:t>Figure 1</w:t>
      </w:r>
      <w:r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Pr>
          <w:rFonts w:asciiTheme="minorHAnsi" w:hAnsiTheme="minorHAnsi"/>
          <w:color w:val="000000" w:themeColor="text1"/>
          <w:sz w:val="24"/>
        </w:rPr>
        <w:t xml:space="preserve"> </w:t>
      </w:r>
      <w:r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D234EA" w:rsidRDefault="00D234EA" w:rsidP="00D234EA">
      <w:pPr>
        <w:pStyle w:val="BodyText"/>
        <w:keepNext/>
        <w:ind w:left="360"/>
      </w:pPr>
      <w:r>
        <w:rPr>
          <w:noProof/>
          <w:sz w:val="28"/>
          <w:szCs w:val="28"/>
          <w:lang w:val="en-US" w:eastAsia="en-US"/>
        </w:rPr>
        <mc:AlternateContent>
          <mc:Choice Requires="wpc">
            <w:drawing>
              <wp:inline distT="0" distB="0" distL="0" distR="0" wp14:anchorId="025A9EA1" wp14:editId="69844A5F">
                <wp:extent cx="4242816" cy="3079698"/>
                <wp:effectExtent l="0" t="0" r="0" b="0"/>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A52042" w:rsidRDefault="001F7D4A" w:rsidP="00D234EA">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7"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8"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24"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25"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7"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lang w:val="sv-SE"/>
                                </w:rPr>
                              </w:pPr>
                              <w:r w:rsidRPr="006116CB">
                                <w:rPr>
                                  <w:b/>
                                  <w:sz w:val="16"/>
                                  <w:szCs w:val="16"/>
                                  <w:lang w:val="sv-SE"/>
                                </w:rPr>
                                <w:t>Data Traffic Channel (PDSCH)</w:t>
                              </w:r>
                            </w:p>
                          </w:txbxContent>
                        </wps:txbx>
                        <wps:bodyPr rot="0" vert="horz" wrap="square" lIns="0" tIns="0" rIns="0" bIns="0" anchor="t" anchorCtr="0" upright="1">
                          <a:noAutofit/>
                        </wps:bodyPr>
                      </wps:wsp>
                      <wps:wsp>
                        <wps:cNvPr id="29"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0"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1"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025A9EA1" id="Canvas 32"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3Ob4A&#10;AADaAAAADwAAAGRycy9kb3ducmV2LnhtbERPy6rCMBDdX/AfwghuLprqQqTXKD7BhS70iuuhGdti&#10;MylJtPXvjSC4Gg7nOdN5ayrxIOdLywqGgwQEcWZ1ybmC8/+2PwHhA7LGyjIpeJKH+azzM8VU24aP&#10;9DiFXMQQ9ikqKEKoUyl9VpBBP7A1ceSu1hkMEbpcaodNDDeVHCXJWBosOTYUWNOqoOx2uhsF47W7&#10;N0de/a7Pmz0e6nx0WT4vSvW67eIPRKA2fMUf907H+fB+5X3l7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ltzm+AAAA2gAAAA8AAAAAAAAAAAAAAAAAmAIAAGRycy9kb3ducmV2&#10;LnhtbFBLBQYAAAAABAAEAPUAAACDAwAAAAA=&#10;" stroked="f">
                  <v:textbox inset="0,0,0,0">
                    <w:txbxContent>
                      <w:p w:rsidR="001F7D4A" w:rsidRPr="00A52042" w:rsidRDefault="001F7D4A" w:rsidP="00D234EA">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1F7D4A" w:rsidRPr="006116CB" w:rsidRDefault="001F7D4A" w:rsidP="00D234EA">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1F7D4A" w:rsidRPr="006116CB" w:rsidRDefault="001F7D4A" w:rsidP="00D234EA">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ZPr8AAADaAAAADwAAAGRycy9kb3ducmV2LnhtbERPz2vCMBS+D/wfwhN2W1N1DK1GKUKh&#10;7jb10OOjeTbF5qU0mbb/vTkMdvz4fu8Oo+3EgwbfOlawSFIQxLXTLTcKrpfiYw3CB2SNnWNSMJGH&#10;w372tsNMuyf/0OMcGhFD2GeowITQZ1L62pBFn7ieOHI3N1gMEQ6N1AM+Y7jt5DJNv6TFlmODwZ6O&#10;hur7+dcqOJm8WOVlVd2/qZ1WdlMs5edCqff5mG9BBBrDv/jPXWoFcWu8Em+A3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fZPr8AAADaAAAADwAAAAAAAAAAAAAAAACh&#10;AgAAZHJzL2Rvd25yZXYueG1sUEsFBgAAAAAEAAQA+QAAAI0DA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rMMA&#10;AADaAAAADwAAAGRycy9kb3ducmV2LnhtbESP0WrCQBRE34X+w3ILvkizqWhpU1dJC4L6IG3qB1yy&#10;t0lo9m7Y3Sbx711B8HGYmTPMajOaVvTkfGNZwXOSgiAurW64UnD62T69gvABWWNrmRScycNm/TBZ&#10;YabtwN/UF6ESEcI+QwV1CF0mpS9rMugT2xFH79c6gyFKV0ntcIhw08p5mr5Igw3HhRo7+qyp/Cv+&#10;jYLjUh6WjCef62Ix8x991eyLL6Wmj2P+DiLQGO7hW3unFbzB9Uq8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TrMMAAADaAAAADwAAAAAAAAAAAAAAAACYAgAAZHJzL2Rv&#10;d25yZXYueG1sUEsFBgAAAAAEAAQA9QAAAIgDAAAAAA==&#10;" fillcolor="white [3201]" strokecolor="black [3200]" strokeweight="1pt">
                  <v:textbo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UpcEA&#10;AADbAAAADwAAAGRycy9kb3ducmV2LnhtbESP0YrCMBRE3wX/IVzBF1lTRWXpGkUFQX0QrX7Apbnb&#10;Fpub0sRa/94Igo/DzJxh5svWlKKh2hWWFYyGEQji1OqCMwXXy/bnF4TzyBpLy6TgSQ6Wi25njrG2&#10;Dz5Tk/hMBAi7GBXk3lexlC7NyaAb2oo4eP+2NuiDrDOpa3wEuCnlOIpm0mDBYSHHijY5pbfkbhQc&#10;p/IwZby6lU4mA7dusmKfnJTq99rVHwhPrf+GP+2dVjCewP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BVKXBAAAA2wAAAA8AAAAAAAAAAAAAAAAAmAIAAGRycy9kb3du&#10;cmV2LnhtbFBLBQYAAAAABAAEAPUAAACGAwAAAAA=&#10;" fillcolor="white [3201]" strokecolor="black [3200]" strokeweight="1pt">
                  <v:textbox>
                    <w:txbxContent>
                      <w:p w:rsidR="001F7D4A" w:rsidRPr="006116CB" w:rsidRDefault="001F7D4A" w:rsidP="00D234EA">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Qt8UAAADbAAAADwAAAGRycy9kb3ducmV2LnhtbESPQWvCQBSE70L/w/IK3nRTQU1T1xCk&#10;Yg6CaHvp7ZF9zabNvg3ZrUn/fVcQehxm5htmk4+2FVfqfeNYwdM8AUFcOd1wreD9bT9LQfiArLF1&#10;TAp+yUO+fZhsMNNu4DNdL6EWEcI+QwUmhC6T0leGLPq564ij9+l6iyHKvpa6xyHCbSsXSbKSFhuO&#10;CwY72hmqvi8/VsGpKJ+P3SDXh1X9+sVlej597IxS08exeAERaAz/4Xu71AoWS7h9i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Qt8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1F7D4A" w:rsidRPr="006116CB" w:rsidRDefault="001F7D4A" w:rsidP="00D234EA">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EsQAAADbAAAADwAAAGRycy9kb3ducmV2LnhtbESPQWuDQBSE74H8h+UFeotrhJbGZhOK&#10;SSHtLZpLbw/3VUX3rbpbY/59t1DocZiZb5jdYTadmGh0jWUFmygGQVxa3XCl4Fq8rZ9BOI+ssbNM&#10;Cu7k4LBfLnaYanvjC025r0SAsEtRQe19n0rpypoMusj2xMH7sqNBH+RYST3iLcBNJ5M4fpIGGw4L&#10;NfaU1VS2+bdR8DhkH20/bE5o2qI9Jvx5ybp3pR5W8+sLCE+z/w//tc9aQbKF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SxAAAANsAAAAPAAAAAAAAAAAA&#10;AAAAAKECAABkcnMvZG93bnJldi54bWxQSwUGAAAAAAQABAD5AAAAkgM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4MMA&#10;AADbAAAADwAAAGRycy9kb3ducmV2LnhtbESP3YrCMBSE74V9h3AWvBFN/eki1SiuIKgX4lYf4NCc&#10;bcs2J6XJ1vr2RhC8HGbmG2a57kwlWmpcaVnBeBSBIM6sLjlXcL3shnMQziNrrCyTgjs5WK8+ektM&#10;tL3xD7Wpz0WAsEtQQeF9nUjpsoIMupGtiYP3axuDPsgml7rBW4CbSk6i6EsaLDksFFjTtqDsL/03&#10;Ck6xPMaMV7fR6Wzgvtu8PKRnpfqf3WYBwlPn3+FXe68VTM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4MMAAADbAAAADwAAAAAAAAAAAAAAAACYAgAAZHJzL2Rv&#10;d25yZXYueG1sUEsFBgAAAAAEAAQA9QAAAIg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D234EA" w:rsidRPr="009B7674" w:rsidRDefault="00D234EA" w:rsidP="00D234EA">
      <w:pPr>
        <w:pStyle w:val="Caption"/>
        <w:rPr>
          <w:b w:val="0"/>
          <w:i/>
          <w:color w:val="000000" w:themeColor="text1"/>
        </w:rPr>
      </w:pPr>
      <w:r>
        <w:rPr>
          <w:color w:val="000000" w:themeColor="text1"/>
        </w:rPr>
        <w:t>Figure 1</w:t>
      </w:r>
      <w:r w:rsidRPr="009B7674">
        <w:rPr>
          <w:color w:val="000000" w:themeColor="text1"/>
        </w:rPr>
        <w:t xml:space="preserve"> Message sequence chart between gNode B and UE</w:t>
      </w:r>
    </w:p>
    <w:p w:rsidR="00D234EA" w:rsidRDefault="00D234EA" w:rsidP="00D234EA">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t xml:space="preserve">The CSI report is sent to the gNodeB via a feedback channel either on a periodic basis or on demand based CSI i.e. aperiodic CSI reporting. The gNodeB scheduler uses this information in choosing the parameters for scheduling of this particular UE. The gNodeB sends the scheduling parameters to the UE in the downlink control channel called PDCCH. After that actual data transfer takes place from gNodeB to the UE. </w:t>
      </w:r>
    </w:p>
    <w:p w:rsidR="00D234EA" w:rsidRDefault="00D234EA" w:rsidP="00D234EA">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D234EA" w:rsidRPr="00CA3B47" w:rsidRDefault="00D234EA" w:rsidP="00D234EA">
      <w:pPr>
        <w:pStyle w:val="Caption"/>
        <w:keepNext/>
        <w:rPr>
          <w:b w:val="0"/>
        </w:rPr>
      </w:pPr>
      <w:r>
        <w:lastRenderedPageBreak/>
        <w:t xml:space="preserve">                                            </w:t>
      </w:r>
      <w:r w:rsidRPr="00CA3B47">
        <w:t xml:space="preserve">Table </w:t>
      </w:r>
      <w:fldSimple w:instr=" SEQ Table \* ARABIC ">
        <w:r>
          <w:rPr>
            <w:noProof/>
          </w:rPr>
          <w:t>1</w:t>
        </w:r>
      </w:fldSimple>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D234EA" w:rsidRPr="00E9040D" w:rsidTr="001F7D4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efficiency</w:t>
            </w:r>
          </w:p>
        </w:tc>
      </w:tr>
      <w:tr w:rsidR="00D234EA" w:rsidRPr="00E9040D" w:rsidTr="001F7D4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out of range</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0.1523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0.2344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0.3770</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0.6016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0.8770</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1.1758</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1.4766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1.9141</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2.4063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2.7305</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3.3223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3.9023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4.5234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5.1152</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5.5547</w:t>
            </w:r>
          </w:p>
        </w:tc>
      </w:tr>
    </w:tbl>
    <w:p w:rsidR="00D234EA" w:rsidRPr="00F864D6" w:rsidRDefault="00D234EA" w:rsidP="00D234EA">
      <w:pPr>
        <w:jc w:val="both"/>
        <w:rPr>
          <w:b/>
          <w:sz w:val="24"/>
          <w:szCs w:val="24"/>
          <w:lang w:val="en-GB"/>
        </w:rPr>
      </w:pPr>
    </w:p>
    <w:p w:rsidR="00D234EA" w:rsidRDefault="00D234EA" w:rsidP="00D234EA">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D234EA" w:rsidRDefault="00D234EA" w:rsidP="00D234EA">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D234EA" w:rsidRDefault="00D234EA" w:rsidP="00D234EA">
      <w:pPr>
        <w:pStyle w:val="BodyText"/>
        <w:keepNext/>
      </w:pPr>
      <w:r>
        <w:rPr>
          <w:noProof/>
          <w:lang w:val="en-US" w:eastAsia="en-US"/>
        </w:rPr>
        <w:drawing>
          <wp:inline distT="0" distB="0" distL="0" distR="0" wp14:anchorId="13260E16" wp14:editId="35F717DE">
            <wp:extent cx="5332730" cy="39427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 xml:space="preserve">2 </w:t>
      </w:r>
      <w:r w:rsidRPr="0097419F">
        <w:t>Modulation probability as a function of geometry for  2Tx antennas</w:t>
      </w:r>
    </w:p>
    <w:p w:rsidR="00D234EA" w:rsidRDefault="00D234EA" w:rsidP="00D234EA">
      <w:pPr>
        <w:pStyle w:val="BodyText"/>
        <w:rPr>
          <w:sz w:val="24"/>
          <w:szCs w:val="24"/>
        </w:rPr>
      </w:pPr>
    </w:p>
    <w:p w:rsidR="00D234EA" w:rsidRDefault="00D234EA" w:rsidP="00D234EA">
      <w:pPr>
        <w:pStyle w:val="BodyText"/>
        <w:rPr>
          <w:sz w:val="24"/>
          <w:szCs w:val="24"/>
        </w:rPr>
      </w:pPr>
      <w:r>
        <w:rPr>
          <w:sz w:val="24"/>
          <w:szCs w:val="24"/>
        </w:rPr>
        <w:t>It can be observed that at low geometries, the probability of choosing QPSK modulation (hence a low CQI index) is very high. i.e. CQI indices 1-6 in Table 1. At medium geometries probability of choosing CQI indices corresponding to the 16-QAM, i.e 7-9 in Table 1 is higher , and at high geometries, the probability of choosing CQI entries corresponding to the 64-QAM is high.</w:t>
      </w:r>
    </w:p>
    <w:p w:rsidR="00D234EA" w:rsidRPr="00F864D6" w:rsidRDefault="00D234EA" w:rsidP="00D234EA">
      <w:pPr>
        <w:pStyle w:val="BodyText"/>
        <w:rPr>
          <w:sz w:val="24"/>
          <w:szCs w:val="24"/>
        </w:rPr>
      </w:pPr>
    </w:p>
    <w:p w:rsidR="00D234EA" w:rsidRDefault="00D234EA" w:rsidP="00D234EA">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D234EA" w:rsidRDefault="00D234EA" w:rsidP="00D234EA">
      <w:pPr>
        <w:pStyle w:val="BodyText"/>
        <w:keepNext/>
      </w:pPr>
      <w:r>
        <w:rPr>
          <w:noProof/>
          <w:lang w:val="en-US" w:eastAsia="en-US"/>
        </w:rPr>
        <w:drawing>
          <wp:inline distT="0" distB="0" distL="0" distR="0" wp14:anchorId="635B6A20" wp14:editId="45033C98">
            <wp:extent cx="5332730" cy="39427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D234EA" w:rsidRDefault="00D234EA" w:rsidP="00D234EA">
      <w:pPr>
        <w:jc w:val="both"/>
        <w:rPr>
          <w:b/>
          <w:sz w:val="24"/>
          <w:szCs w:val="24"/>
        </w:rPr>
      </w:pPr>
    </w:p>
    <w:p w:rsidR="00D234EA" w:rsidRDefault="00D234EA" w:rsidP="00D234EA">
      <w:pPr>
        <w:pStyle w:val="BodyText"/>
        <w:rPr>
          <w:sz w:val="24"/>
          <w:szCs w:val="24"/>
        </w:rPr>
      </w:pPr>
      <w:r w:rsidRPr="00F864D6">
        <w:rPr>
          <w:sz w:val="24"/>
          <w:szCs w:val="24"/>
        </w:rPr>
        <w:t>Based on the above results, instead of using feedback channel (conventional) with 4 bits of CQI, g</w:t>
      </w:r>
      <w:r>
        <w:rPr>
          <w:sz w:val="24"/>
          <w:szCs w:val="24"/>
        </w:rPr>
        <w:t>NB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D234EA" w:rsidRPr="00F864D6" w:rsidRDefault="00D234EA" w:rsidP="00D234EA">
      <w:pPr>
        <w:pStyle w:val="BodyText"/>
        <w:rPr>
          <w:sz w:val="24"/>
          <w:szCs w:val="24"/>
        </w:rPr>
      </w:pPr>
      <w:r>
        <w:rPr>
          <w:sz w:val="24"/>
          <w:szCs w:val="24"/>
        </w:rPr>
        <w:t>Similar procedures can be used to restrict the MCS for downlink control channel. Based on above observation, we propose</w:t>
      </w:r>
    </w:p>
    <w:p w:rsidR="00D234EA" w:rsidRDefault="007779D9" w:rsidP="00D234EA">
      <w:pPr>
        <w:jc w:val="both"/>
        <w:rPr>
          <w:b/>
          <w:sz w:val="24"/>
          <w:szCs w:val="24"/>
        </w:rPr>
      </w:pPr>
      <w:r>
        <w:rPr>
          <w:b/>
          <w:sz w:val="24"/>
          <w:szCs w:val="24"/>
        </w:rPr>
        <w:t>Proposal 5</w:t>
      </w:r>
      <w:r w:rsidR="00D234EA" w:rsidRPr="005C1BF7">
        <w:rPr>
          <w:b/>
          <w:sz w:val="24"/>
          <w:szCs w:val="24"/>
        </w:rPr>
        <w:t xml:space="preserve">: </w:t>
      </w:r>
      <w:r w:rsidR="00D234EA">
        <w:rPr>
          <w:b/>
          <w:sz w:val="24"/>
          <w:szCs w:val="24"/>
        </w:rPr>
        <w:t xml:space="preserve"> UE specific adaptive CQI/MCS pay load sizes should be taken into consideration when indicating CQI and </w:t>
      </w:r>
      <w:r w:rsidR="00110E2E">
        <w:rPr>
          <w:b/>
          <w:sz w:val="24"/>
          <w:szCs w:val="24"/>
        </w:rPr>
        <w:t>MCS,</w:t>
      </w:r>
      <w:r>
        <w:rPr>
          <w:b/>
          <w:sz w:val="24"/>
          <w:szCs w:val="24"/>
        </w:rPr>
        <w:t xml:space="preserve"> i.e. CQI/MCS subset </w:t>
      </w:r>
      <w:r w:rsidR="00110E2E">
        <w:rPr>
          <w:b/>
          <w:sz w:val="24"/>
          <w:szCs w:val="24"/>
        </w:rPr>
        <w:t>restriction should</w:t>
      </w:r>
      <w:r>
        <w:rPr>
          <w:b/>
          <w:sz w:val="24"/>
          <w:szCs w:val="24"/>
        </w:rPr>
        <w:t xml:space="preserve"> be used </w:t>
      </w:r>
    </w:p>
    <w:p w:rsidR="009C0834" w:rsidRPr="00D234EA" w:rsidRDefault="009C0834" w:rsidP="009C0834"/>
    <w:p w:rsidR="009C0834" w:rsidRPr="009C0834" w:rsidRDefault="009C0834" w:rsidP="009C0834">
      <w:pPr>
        <w:rPr>
          <w:lang w:val="en-GB"/>
        </w:rPr>
      </w:pPr>
    </w:p>
    <w:p w:rsidR="000462AB" w:rsidRDefault="000462AB" w:rsidP="005C7FD4">
      <w:pPr>
        <w:rPr>
          <w:b/>
          <w:sz w:val="24"/>
          <w:szCs w:val="24"/>
        </w:rPr>
      </w:pPr>
    </w:p>
    <w:p w:rsidR="006E7E37" w:rsidRDefault="00152AB0" w:rsidP="000118EB">
      <w:pPr>
        <w:jc w:val="both"/>
        <w:rPr>
          <w:b/>
          <w:sz w:val="24"/>
          <w:szCs w:val="24"/>
        </w:rPr>
      </w:pPr>
      <w:r>
        <w:rPr>
          <w:b/>
          <w:sz w:val="24"/>
          <w:szCs w:val="24"/>
        </w:rPr>
        <w:t xml:space="preserve"> </w:t>
      </w:r>
    </w:p>
    <w:p w:rsidR="001D7377" w:rsidRDefault="001D7377" w:rsidP="001D7377">
      <w:pPr>
        <w:pStyle w:val="Heading1"/>
      </w:pPr>
      <w:bookmarkStart w:id="5" w:name="_Toc424303267"/>
      <w:bookmarkStart w:id="6" w:name="_Toc425248865"/>
      <w:bookmarkStart w:id="7" w:name="_Toc425344835"/>
      <w:bookmarkStart w:id="8" w:name="_Toc425350726"/>
      <w:bookmarkStart w:id="9" w:name="_Toc425501584"/>
      <w:bookmarkStart w:id="10"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5"/>
      <w:bookmarkEnd w:id="6"/>
      <w:bookmarkEnd w:id="7"/>
      <w:bookmarkEnd w:id="8"/>
      <w:bookmarkEnd w:id="9"/>
      <w:bookmarkEnd w:id="10"/>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110E2E" w:rsidRPr="002062C9" w:rsidRDefault="00110E2E" w:rsidP="00110E2E">
      <w:pPr>
        <w:pStyle w:val="RAN1bullet1"/>
      </w:pPr>
      <w:bookmarkStart w:id="11" w:name="_Ref450342757"/>
      <w:bookmarkEnd w:id="3"/>
      <w:r>
        <w:rPr>
          <w:b/>
          <w:sz w:val="24"/>
        </w:rPr>
        <w:t>Proposal 1</w:t>
      </w:r>
      <w:r w:rsidRPr="005C1BF7">
        <w:rPr>
          <w:b/>
          <w:sz w:val="24"/>
        </w:rPr>
        <w:t xml:space="preserve">: </w:t>
      </w:r>
      <w:r>
        <w:rPr>
          <w:b/>
          <w:sz w:val="24"/>
        </w:rPr>
        <w:t xml:space="preserve">  For CQI table of maximum modulation order of 256 QAM, the CQI table from LTE is reused </w:t>
      </w:r>
    </w:p>
    <w:p w:rsidR="00110E2E" w:rsidRDefault="00110E2E" w:rsidP="00110E2E">
      <w:pPr>
        <w:pStyle w:val="RAN1bullet1"/>
        <w:rPr>
          <w:b/>
          <w:sz w:val="24"/>
        </w:rPr>
      </w:pPr>
    </w:p>
    <w:p w:rsidR="00110E2E" w:rsidRPr="002062C9" w:rsidRDefault="00110E2E" w:rsidP="00110E2E">
      <w:pPr>
        <w:pStyle w:val="RAN1bullet1"/>
      </w:pPr>
      <w:r>
        <w:rPr>
          <w:b/>
          <w:sz w:val="24"/>
        </w:rPr>
        <w:t>Proposal 2</w:t>
      </w:r>
      <w:r w:rsidRPr="005C1BF7">
        <w:rPr>
          <w:b/>
          <w:sz w:val="24"/>
        </w:rPr>
        <w:t xml:space="preserve">: </w:t>
      </w:r>
      <w:r>
        <w:rPr>
          <w:b/>
          <w:sz w:val="24"/>
        </w:rPr>
        <w:t xml:space="preserve"> MCS table design for PUSCH with CP-OFDM is same as that of PDSCH  </w:t>
      </w:r>
    </w:p>
    <w:p w:rsidR="00110E2E" w:rsidRDefault="00110E2E" w:rsidP="00110E2E">
      <w:pPr>
        <w:pStyle w:val="RAN1bullet1"/>
        <w:rPr>
          <w:b/>
          <w:sz w:val="24"/>
        </w:rPr>
      </w:pPr>
    </w:p>
    <w:p w:rsidR="00110E2E" w:rsidRPr="002062C9" w:rsidRDefault="00110E2E" w:rsidP="00110E2E">
      <w:pPr>
        <w:pStyle w:val="RAN1bullet1"/>
      </w:pPr>
      <w:r>
        <w:rPr>
          <w:b/>
          <w:sz w:val="24"/>
        </w:rPr>
        <w:t>Proposal 3</w:t>
      </w:r>
      <w:r w:rsidRPr="005C1BF7">
        <w:rPr>
          <w:b/>
          <w:sz w:val="24"/>
        </w:rPr>
        <w:t xml:space="preserve">: </w:t>
      </w:r>
      <w:r>
        <w:rPr>
          <w:b/>
          <w:sz w:val="24"/>
        </w:rPr>
        <w:t xml:space="preserve"> MCS tables from LTE are reused for PDSCH and PUSCH with CP-OFDM </w:t>
      </w:r>
    </w:p>
    <w:p w:rsidR="00110E2E" w:rsidRDefault="00110E2E" w:rsidP="00110E2E">
      <w:pPr>
        <w:jc w:val="both"/>
        <w:rPr>
          <w:b/>
          <w:sz w:val="24"/>
          <w:szCs w:val="24"/>
        </w:rPr>
      </w:pPr>
    </w:p>
    <w:p w:rsidR="00110E2E" w:rsidRDefault="00110E2E" w:rsidP="00110E2E">
      <w:pPr>
        <w:jc w:val="both"/>
        <w:rPr>
          <w:b/>
          <w:sz w:val="24"/>
          <w:szCs w:val="24"/>
        </w:rPr>
      </w:pPr>
      <w:r>
        <w:rPr>
          <w:b/>
          <w:sz w:val="24"/>
          <w:szCs w:val="24"/>
        </w:rPr>
        <w:t>Proposal 4</w:t>
      </w:r>
      <w:r w:rsidRPr="005C1BF7">
        <w:rPr>
          <w:b/>
          <w:sz w:val="24"/>
          <w:szCs w:val="24"/>
        </w:rPr>
        <w:t xml:space="preserve">: </w:t>
      </w:r>
      <w:r>
        <w:rPr>
          <w:b/>
          <w:sz w:val="24"/>
          <w:szCs w:val="24"/>
        </w:rPr>
        <w:t xml:space="preserve">  Pi/2 BPSK entries in the MCS table for PUSCH should cover the lowest code rates from 1/32 to 1/8 </w:t>
      </w:r>
    </w:p>
    <w:p w:rsidR="00110E2E" w:rsidRDefault="00110E2E" w:rsidP="00110E2E">
      <w:pPr>
        <w:jc w:val="both"/>
        <w:rPr>
          <w:b/>
          <w:sz w:val="24"/>
          <w:szCs w:val="24"/>
        </w:rPr>
      </w:pPr>
      <w:r>
        <w:rPr>
          <w:b/>
          <w:sz w:val="24"/>
          <w:szCs w:val="24"/>
        </w:rPr>
        <w:t>Proposal 5</w:t>
      </w:r>
      <w:r w:rsidRPr="005C1BF7">
        <w:rPr>
          <w:b/>
          <w:sz w:val="24"/>
          <w:szCs w:val="24"/>
        </w:rPr>
        <w:t xml:space="preserve">: </w:t>
      </w:r>
      <w:r>
        <w:rPr>
          <w:b/>
          <w:sz w:val="24"/>
          <w:szCs w:val="24"/>
        </w:rPr>
        <w:t xml:space="preserve"> UE specific adaptive CQI/MCS pay load sizes should be taken into consideration when indicating CQI and MCS, i.e. CQI/MCS subset restriction should be used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6AB" w:rsidRDefault="004E66AB" w:rsidP="00A03DF3">
      <w:pPr>
        <w:spacing w:after="0"/>
      </w:pPr>
      <w:r>
        <w:separator/>
      </w:r>
    </w:p>
  </w:endnote>
  <w:endnote w:type="continuationSeparator" w:id="0">
    <w:p w:rsidR="004E66AB" w:rsidRDefault="004E66A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B33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33F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6AB" w:rsidRDefault="004E66AB" w:rsidP="00A03DF3">
      <w:pPr>
        <w:spacing w:after="0"/>
      </w:pPr>
      <w:r>
        <w:separator/>
      </w:r>
    </w:p>
  </w:footnote>
  <w:footnote w:type="continuationSeparator" w:id="0">
    <w:p w:rsidR="004E66AB" w:rsidRDefault="004E66A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2"/>
  </w:num>
  <w:num w:numId="8">
    <w:abstractNumId w:val="15"/>
  </w:num>
  <w:num w:numId="9">
    <w:abstractNumId w:val="8"/>
  </w:num>
  <w:num w:numId="10">
    <w:abstractNumId w:val="11"/>
  </w:num>
  <w:num w:numId="11">
    <w:abstractNumId w:val="9"/>
  </w:num>
  <w:num w:numId="12">
    <w:abstractNumId w:val="16"/>
  </w:num>
  <w:num w:numId="13">
    <w:abstractNumId w:val="10"/>
  </w:num>
  <w:num w:numId="14">
    <w:abstractNumId w:val="13"/>
  </w:num>
  <w:num w:numId="15">
    <w:abstractNumId w:val="14"/>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B362A"/>
    <w:rsid w:val="001C0C74"/>
    <w:rsid w:val="001D7377"/>
    <w:rsid w:val="001E0FE1"/>
    <w:rsid w:val="001E1248"/>
    <w:rsid w:val="001F7D4A"/>
    <w:rsid w:val="00201686"/>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06AF"/>
    <w:rsid w:val="002F500A"/>
    <w:rsid w:val="002F70E1"/>
    <w:rsid w:val="00304012"/>
    <w:rsid w:val="0030433D"/>
    <w:rsid w:val="003109E6"/>
    <w:rsid w:val="003149D8"/>
    <w:rsid w:val="00316418"/>
    <w:rsid w:val="00334E9F"/>
    <w:rsid w:val="00341D34"/>
    <w:rsid w:val="0035783D"/>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1290E"/>
    <w:rsid w:val="0062050D"/>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834"/>
    <w:rsid w:val="009C0E95"/>
    <w:rsid w:val="009F4239"/>
    <w:rsid w:val="00A03DF3"/>
    <w:rsid w:val="00A13339"/>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E32F5"/>
    <w:rsid w:val="00BF2B2D"/>
    <w:rsid w:val="00C00A29"/>
    <w:rsid w:val="00C112D0"/>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913DA"/>
    <w:rsid w:val="00DA14A6"/>
    <w:rsid w:val="00DA67F5"/>
    <w:rsid w:val="00DA7B6D"/>
    <w:rsid w:val="00DB432F"/>
    <w:rsid w:val="00DB6035"/>
    <w:rsid w:val="00DC29F0"/>
    <w:rsid w:val="00DE5572"/>
    <w:rsid w:val="00DF21E7"/>
    <w:rsid w:val="00DF7C58"/>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2CE0"/>
    <w:rsid w:val="00E743E0"/>
    <w:rsid w:val="00E7453F"/>
    <w:rsid w:val="00E80B50"/>
    <w:rsid w:val="00E82275"/>
    <w:rsid w:val="00E8259C"/>
    <w:rsid w:val="00E82924"/>
    <w:rsid w:val="00E84501"/>
    <w:rsid w:val="00E917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2A9A-216A-41AF-86A8-A6F809EE5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4774</TotalTime>
  <Pages>6</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429</cp:revision>
  <dcterms:created xsi:type="dcterms:W3CDTF">2016-08-12T11:37:00Z</dcterms:created>
  <dcterms:modified xsi:type="dcterms:W3CDTF">2017-11-17T21:52:00Z</dcterms:modified>
</cp:coreProperties>
</file>